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A775A3">
      <w:pPr>
        <w:kinsoku/>
        <w:wordWrap w:val="0"/>
        <w:spacing w:before="104" w:line="222" w:lineRule="auto"/>
        <w:ind w:left="3" w:hanging="3"/>
        <w:outlineLvl w:val="0"/>
        <w:rPr>
          <w:rFonts w:hint="eastAsia" w:ascii="方正小标宋简体" w:hAnsi="黑体" w:eastAsia="方正小标宋简体" w:cs="仿宋"/>
          <w:sz w:val="36"/>
          <w:szCs w:val="36"/>
          <w:lang w:eastAsia="zh-CN"/>
        </w:rPr>
      </w:pPr>
      <w:r>
        <w:rPr>
          <w:rFonts w:hint="eastAsia" w:ascii="方正小标宋简体" w:hAnsi="黑体" w:eastAsia="方正小标宋简体" w:cs="仿宋"/>
          <w:bCs/>
          <w:spacing w:val="22"/>
          <w:sz w:val="36"/>
          <w:szCs w:val="36"/>
          <w:lang w:eastAsia="zh-CN"/>
        </w:rPr>
        <w:t>附件1:</w:t>
      </w:r>
    </w:p>
    <w:p w14:paraId="0C58AB96">
      <w:pPr>
        <w:kinsoku/>
        <w:wordWrap w:val="0"/>
        <w:spacing w:before="240" w:beforeLines="100" w:after="240" w:afterLines="100" w:line="221" w:lineRule="auto"/>
        <w:jc w:val="center"/>
        <w:rPr>
          <w:rFonts w:hint="eastAsia" w:ascii="方正小标宋简体" w:hAnsi="黑体" w:eastAsia="方正小标宋简体" w:cs="黑体"/>
          <w:sz w:val="36"/>
          <w:szCs w:val="36"/>
          <w:lang w:eastAsia="zh-CN"/>
        </w:rPr>
      </w:pPr>
      <w:r>
        <w:rPr>
          <w:rFonts w:hint="eastAsia" w:ascii="方正小标宋简体" w:hAnsi="黑体" w:eastAsia="方正小标宋简体" w:cs="黑体"/>
          <w:bCs/>
          <w:spacing w:val="-5"/>
          <w:sz w:val="36"/>
          <w:szCs w:val="36"/>
          <w:lang w:eastAsia="zh-CN"/>
        </w:rPr>
        <w:t>第二届甘肃省大学生数字经济创新应用大赛规程</w:t>
      </w:r>
    </w:p>
    <w:p w14:paraId="40BB43E7">
      <w:pPr>
        <w:pStyle w:val="3"/>
        <w:kinsoku/>
        <w:wordWrap w:val="0"/>
        <w:spacing w:before="10" w:afterLines="50" w:line="560" w:lineRule="exact"/>
        <w:ind w:left="28" w:firstLine="539"/>
        <w:jc w:val="both"/>
        <w:rPr>
          <w:rFonts w:hint="eastAsia" w:ascii="黑体" w:hAnsi="黑体" w:eastAsia="黑体" w:cs="仿宋"/>
          <w:bCs/>
          <w:spacing w:val="20"/>
          <w:sz w:val="32"/>
          <w:szCs w:val="32"/>
          <w:lang w:eastAsia="zh-CN"/>
        </w:rPr>
      </w:pPr>
      <w:r>
        <w:rPr>
          <w:rFonts w:hint="eastAsia" w:ascii="黑体" w:hAnsi="黑体" w:eastAsia="黑体" w:cs="黑体"/>
          <w:bCs/>
          <w:spacing w:val="20"/>
          <w:sz w:val="32"/>
          <w:szCs w:val="32"/>
          <w:lang w:eastAsia="zh-CN"/>
        </w:rPr>
        <w:t>一、赛项名</w:t>
      </w:r>
      <w:r>
        <w:rPr>
          <w:rFonts w:hint="eastAsia" w:ascii="黑体" w:hAnsi="黑体" w:eastAsia="黑体" w:cs="仿宋"/>
          <w:bCs/>
          <w:spacing w:val="20"/>
          <w:sz w:val="32"/>
          <w:szCs w:val="32"/>
          <w:lang w:eastAsia="zh-CN"/>
        </w:rPr>
        <w:t>称</w:t>
      </w:r>
    </w:p>
    <w:p w14:paraId="6B28C769">
      <w:pPr>
        <w:pStyle w:val="3"/>
        <w:kinsoku/>
        <w:wordWrap w:val="0"/>
        <w:spacing w:before="60" w:after="50" w:line="560" w:lineRule="exact"/>
        <w:ind w:left="28" w:firstLine="5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第二届甘肃省大学生数字经济创新应用大赛</w:t>
      </w:r>
    </w:p>
    <w:p w14:paraId="167706D3">
      <w:pPr>
        <w:pStyle w:val="3"/>
        <w:kinsoku/>
        <w:wordWrap w:val="0"/>
        <w:spacing w:before="10" w:afterLines="50" w:line="560" w:lineRule="exact"/>
        <w:ind w:left="28" w:firstLine="539"/>
        <w:rPr>
          <w:rFonts w:hint="eastAsia" w:ascii="黑体" w:hAnsi="黑体" w:eastAsia="黑体" w:cs="仿宋"/>
          <w:bCs/>
          <w:spacing w:val="20"/>
          <w:sz w:val="32"/>
          <w:szCs w:val="32"/>
          <w:lang w:eastAsia="zh-CN"/>
        </w:rPr>
      </w:pPr>
      <w:r>
        <w:rPr>
          <w:rFonts w:hint="eastAsia" w:ascii="黑体" w:hAnsi="黑体" w:eastAsia="黑体" w:cs="仿宋"/>
          <w:bCs/>
          <w:spacing w:val="20"/>
          <w:sz w:val="32"/>
          <w:szCs w:val="32"/>
          <w:lang w:eastAsia="zh-CN"/>
        </w:rPr>
        <w:t>二、竞赛内容</w:t>
      </w:r>
    </w:p>
    <w:p w14:paraId="6F4D93E8">
      <w:pPr>
        <w:pStyle w:val="3"/>
        <w:kinsoku/>
        <w:wordWrap w:val="0"/>
        <w:spacing w:before="60" w:after="50" w:line="560" w:lineRule="exact"/>
        <w:ind w:left="28" w:firstLine="5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大赛分成初赛和决赛两个阶段进行</w:t>
      </w:r>
    </w:p>
    <w:p w14:paraId="0E302185">
      <w:pPr>
        <w:pStyle w:val="3"/>
        <w:kinsoku/>
        <w:wordWrap w:val="0"/>
        <w:spacing w:before="60" w:after="50" w:line="560" w:lineRule="exact"/>
        <w:ind w:left="28" w:firstLine="502"/>
        <w:rPr>
          <w:rFonts w:hint="eastAsia" w:ascii="仿宋_GB2312" w:hAnsi="仿宋" w:eastAsia="仿宋_GB2312" w:cs="仿宋"/>
          <w:b/>
          <w:bCs/>
          <w:spacing w:val="20"/>
          <w:sz w:val="32"/>
          <w:szCs w:val="32"/>
          <w:lang w:eastAsia="zh-CN"/>
        </w:rPr>
      </w:pPr>
      <w:r>
        <w:rPr>
          <w:rFonts w:hint="eastAsia" w:ascii="仿宋_GB2312" w:hAnsi="仿宋" w:eastAsia="仿宋_GB2312" w:cs="仿宋"/>
          <w:b/>
          <w:bCs/>
          <w:spacing w:val="20"/>
          <w:sz w:val="32"/>
          <w:szCs w:val="32"/>
          <w:lang w:eastAsia="zh-CN"/>
        </w:rPr>
        <w:t>1.初赛阶段（数字技术能力考核）</w:t>
      </w:r>
    </w:p>
    <w:p w14:paraId="6782B711">
      <w:pPr>
        <w:pStyle w:val="3"/>
        <w:kinsoku/>
        <w:wordWrap w:val="0"/>
        <w:spacing w:before="60" w:after="50" w:line="560" w:lineRule="exact"/>
        <w:ind w:left="28" w:firstLine="502"/>
        <w:rPr>
          <w:rFonts w:hint="eastAsia" w:ascii="仿宋_GB2312" w:hAnsi="仿宋" w:eastAsia="仿宋_GB2312" w:cs="仿宋"/>
          <w:bCs/>
          <w:spacing w:val="20"/>
          <w:sz w:val="32"/>
          <w:szCs w:val="32"/>
          <w:lang w:eastAsia="zh-CN"/>
        </w:rPr>
      </w:pPr>
      <w:r>
        <w:rPr>
          <w:rFonts w:hint="eastAsia" w:ascii="仿宋_GB2312" w:hAnsi="仿宋" w:eastAsia="仿宋_GB2312" w:cs="仿宋"/>
          <w:bCs/>
          <w:spacing w:val="20"/>
          <w:sz w:val="32"/>
          <w:szCs w:val="32"/>
          <w:lang w:eastAsia="zh-CN"/>
        </w:rPr>
        <w:t>本阶段比赛时长120分钟，三位选手共同完成一套题，总分100分，评分细则如下：</w:t>
      </w:r>
    </w:p>
    <w:tbl>
      <w:tblPr>
        <w:tblStyle w:val="6"/>
        <w:tblW w:w="85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4"/>
        <w:gridCol w:w="5468"/>
        <w:gridCol w:w="768"/>
        <w:gridCol w:w="849"/>
      </w:tblGrid>
      <w:tr w14:paraId="384CB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4" w:type="dxa"/>
            <w:vAlign w:val="center"/>
          </w:tcPr>
          <w:p w14:paraId="1CB5F985">
            <w:pPr>
              <w:kinsoku/>
              <w:wordWrap w:val="0"/>
              <w:spacing w:line="312" w:lineRule="exact"/>
              <w:jc w:val="center"/>
              <w:rPr>
                <w:rFonts w:hint="eastAsia" w:ascii="仿宋" w:hAnsi="仿宋" w:eastAsia="仿宋" w:cs="仿宋"/>
                <w:b/>
                <w:bCs/>
                <w:sz w:val="24"/>
                <w:szCs w:val="24"/>
              </w:rPr>
            </w:pPr>
            <w:r>
              <w:rPr>
                <w:rFonts w:hint="eastAsia" w:ascii="仿宋" w:hAnsi="仿宋" w:eastAsia="仿宋" w:cs="仿宋"/>
                <w:b/>
                <w:bCs/>
                <w:sz w:val="24"/>
                <w:szCs w:val="24"/>
              </w:rPr>
              <w:t>竞赛模块</w:t>
            </w:r>
          </w:p>
        </w:tc>
        <w:tc>
          <w:tcPr>
            <w:tcW w:w="5468" w:type="dxa"/>
            <w:vAlign w:val="center"/>
          </w:tcPr>
          <w:p w14:paraId="0C321DD7">
            <w:pPr>
              <w:kinsoku/>
              <w:wordWrap w:val="0"/>
              <w:spacing w:line="312" w:lineRule="exact"/>
              <w:ind w:firstLine="482"/>
              <w:jc w:val="center"/>
              <w:rPr>
                <w:rFonts w:hint="eastAsia" w:ascii="仿宋" w:hAnsi="仿宋" w:eastAsia="仿宋" w:cs="仿宋"/>
                <w:b/>
                <w:bCs/>
                <w:sz w:val="24"/>
                <w:szCs w:val="24"/>
              </w:rPr>
            </w:pPr>
            <w:r>
              <w:rPr>
                <w:rFonts w:hint="eastAsia" w:ascii="仿宋" w:hAnsi="仿宋" w:eastAsia="仿宋" w:cs="仿宋"/>
                <w:b/>
                <w:bCs/>
                <w:sz w:val="24"/>
                <w:szCs w:val="24"/>
              </w:rPr>
              <w:t>竞赛业务范围</w:t>
            </w:r>
          </w:p>
        </w:tc>
        <w:tc>
          <w:tcPr>
            <w:tcW w:w="768" w:type="dxa"/>
            <w:vAlign w:val="center"/>
          </w:tcPr>
          <w:p w14:paraId="79AF6F42">
            <w:pPr>
              <w:kinsoku/>
              <w:wordWrap w:val="0"/>
              <w:spacing w:line="312" w:lineRule="exact"/>
              <w:jc w:val="center"/>
              <w:rPr>
                <w:rFonts w:hint="eastAsia" w:ascii="仿宋" w:hAnsi="仿宋" w:eastAsia="仿宋" w:cs="仿宋"/>
                <w:b/>
                <w:bCs/>
                <w:sz w:val="24"/>
                <w:szCs w:val="24"/>
              </w:rPr>
            </w:pPr>
            <w:r>
              <w:rPr>
                <w:rFonts w:hint="eastAsia" w:ascii="仿宋" w:hAnsi="仿宋" w:eastAsia="仿宋" w:cs="仿宋"/>
                <w:b/>
                <w:bCs/>
                <w:sz w:val="24"/>
                <w:szCs w:val="24"/>
              </w:rPr>
              <w:t>分值</w:t>
            </w:r>
          </w:p>
        </w:tc>
        <w:tc>
          <w:tcPr>
            <w:tcW w:w="849" w:type="dxa"/>
            <w:vAlign w:val="center"/>
          </w:tcPr>
          <w:p w14:paraId="5A4C32FB">
            <w:pPr>
              <w:kinsoku/>
              <w:wordWrap w:val="0"/>
              <w:spacing w:line="312" w:lineRule="exact"/>
              <w:jc w:val="center"/>
              <w:rPr>
                <w:rFonts w:hint="eastAsia" w:ascii="仿宋" w:hAnsi="仿宋" w:eastAsia="仿宋" w:cs="仿宋"/>
                <w:b/>
                <w:bCs/>
                <w:sz w:val="24"/>
                <w:szCs w:val="24"/>
              </w:rPr>
            </w:pPr>
            <w:r>
              <w:rPr>
                <w:rFonts w:hint="eastAsia" w:ascii="仿宋" w:hAnsi="仿宋" w:eastAsia="仿宋" w:cs="仿宋"/>
                <w:b/>
                <w:bCs/>
                <w:sz w:val="24"/>
                <w:szCs w:val="24"/>
              </w:rPr>
              <w:t>评分方式</w:t>
            </w:r>
          </w:p>
        </w:tc>
      </w:tr>
      <w:tr w14:paraId="07254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4" w:type="dxa"/>
            <w:vAlign w:val="center"/>
          </w:tcPr>
          <w:p w14:paraId="72568BFB">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数字经济背景下的宏观经济分析</w:t>
            </w:r>
          </w:p>
        </w:tc>
        <w:tc>
          <w:tcPr>
            <w:tcW w:w="5468" w:type="dxa"/>
            <w:vAlign w:val="center"/>
          </w:tcPr>
          <w:p w14:paraId="7D451E08">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围绕数字经济发展背景下宏观经济运行与产业发展变化，结合国内外经济增长、通货膨胀、就业、货币政策、产业结构等宏观经济指标，分析数字技术应用、数据要素发展和数字产业化进程对经济运行模式、产业转型升级和市场环境变化的影响。通过运用宏观经济理论和数据分析方法，识别经济发展趋势，研判数字经济环境下的宏观经济变化规律，为政府经济政策制定、产业发展规划和企业经营决策提供分析依据。</w:t>
            </w:r>
          </w:p>
        </w:tc>
        <w:tc>
          <w:tcPr>
            <w:tcW w:w="768" w:type="dxa"/>
            <w:vAlign w:val="center"/>
          </w:tcPr>
          <w:p w14:paraId="5F9E10DD">
            <w:pPr>
              <w:kinsoku/>
              <w:wordWrap w:val="0"/>
              <w:spacing w:line="312"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20</w:t>
            </w:r>
          </w:p>
        </w:tc>
        <w:tc>
          <w:tcPr>
            <w:tcW w:w="849" w:type="dxa"/>
            <w:vAlign w:val="center"/>
          </w:tcPr>
          <w:p w14:paraId="4DF9E725">
            <w:pPr>
              <w:kinsoku/>
              <w:wordWrap w:val="0"/>
              <w:spacing w:line="312" w:lineRule="exact"/>
              <w:jc w:val="center"/>
              <w:rPr>
                <w:rFonts w:hint="eastAsia" w:ascii="仿宋" w:hAnsi="仿宋" w:eastAsia="仿宋" w:cs="仿宋"/>
                <w:sz w:val="24"/>
                <w:szCs w:val="24"/>
              </w:rPr>
            </w:pPr>
            <w:r>
              <w:rPr>
                <w:rFonts w:hint="eastAsia" w:ascii="仿宋" w:hAnsi="仿宋" w:eastAsia="仿宋" w:cs="仿宋"/>
                <w:sz w:val="24"/>
                <w:szCs w:val="24"/>
              </w:rPr>
              <w:t>系统</w:t>
            </w:r>
          </w:p>
        </w:tc>
      </w:tr>
      <w:tr w14:paraId="40005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4" w:type="dxa"/>
            <w:vAlign w:val="center"/>
          </w:tcPr>
          <w:p w14:paraId="3D718CBC">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数字化供应链管理与采购优化</w:t>
            </w:r>
          </w:p>
        </w:tc>
        <w:tc>
          <w:tcPr>
            <w:tcW w:w="5468" w:type="dxa"/>
            <w:vAlign w:val="center"/>
          </w:tcPr>
          <w:p w14:paraId="4830D82C">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围绕数字经济背景下供应链体系的数字化升级与智能化运营，结合供应链协同、采购管理、库存控制、需求预测等关键环节，分析数字技术在供应链信息共享、资源配置优化和风险识别预警中的应用。通过运用供应链管理理论、运营管理方法和数据分析手段，研究供应链运行效率提升、采购策略优化和企业供应保障能力增强等问题，为企业实现供应链降本增效、提升运营韧性和促进产业协同发展提供分析依据。</w:t>
            </w:r>
          </w:p>
        </w:tc>
        <w:tc>
          <w:tcPr>
            <w:tcW w:w="768" w:type="dxa"/>
            <w:vAlign w:val="center"/>
          </w:tcPr>
          <w:p w14:paraId="14E1DB97">
            <w:pPr>
              <w:kinsoku/>
              <w:wordWrap w:val="0"/>
              <w:spacing w:line="312" w:lineRule="exact"/>
              <w:jc w:val="center"/>
              <w:rPr>
                <w:rFonts w:hint="eastAsia" w:ascii="仿宋" w:hAnsi="仿宋" w:eastAsia="仿宋" w:cs="仿宋"/>
                <w:sz w:val="24"/>
                <w:szCs w:val="24"/>
              </w:rPr>
            </w:pPr>
            <w:r>
              <w:rPr>
                <w:rFonts w:hint="eastAsia" w:ascii="仿宋" w:hAnsi="仿宋" w:eastAsia="仿宋" w:cs="仿宋"/>
                <w:sz w:val="24"/>
                <w:szCs w:val="24"/>
                <w:lang w:eastAsia="zh-CN"/>
              </w:rPr>
              <w:t>25</w:t>
            </w:r>
          </w:p>
        </w:tc>
        <w:tc>
          <w:tcPr>
            <w:tcW w:w="849" w:type="dxa"/>
            <w:vAlign w:val="center"/>
          </w:tcPr>
          <w:p w14:paraId="37B1EDE6">
            <w:pPr>
              <w:kinsoku/>
              <w:wordWrap w:val="0"/>
              <w:spacing w:line="312" w:lineRule="exact"/>
              <w:jc w:val="center"/>
              <w:rPr>
                <w:rFonts w:hint="eastAsia" w:ascii="仿宋" w:hAnsi="仿宋" w:eastAsia="仿宋" w:cs="仿宋"/>
                <w:sz w:val="24"/>
                <w:szCs w:val="24"/>
              </w:rPr>
            </w:pPr>
            <w:r>
              <w:rPr>
                <w:rFonts w:hint="eastAsia" w:ascii="仿宋" w:hAnsi="仿宋" w:eastAsia="仿宋" w:cs="仿宋"/>
                <w:sz w:val="24"/>
                <w:szCs w:val="24"/>
              </w:rPr>
              <w:t>系统</w:t>
            </w:r>
          </w:p>
        </w:tc>
      </w:tr>
      <w:tr w14:paraId="467E2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4" w:type="dxa"/>
            <w:vAlign w:val="center"/>
          </w:tcPr>
          <w:p w14:paraId="67891E32">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数字营销与消费者行为分析</w:t>
            </w:r>
          </w:p>
        </w:tc>
        <w:tc>
          <w:tcPr>
            <w:tcW w:w="5468" w:type="dxa"/>
            <w:vAlign w:val="center"/>
          </w:tcPr>
          <w:p w14:paraId="125840DA">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围绕数字经济环境下消费者需求变化与市场营销模式创新，结合消费者行为、市场细分、目标市场选择、营销组合策略等相关理论，分析数字技术在消费者需求识别、用户画像构建、精准营销、客户关系管理等方面的应用。通过运用市场营销理论和数据分析方法，研究数字化环境下消费者行为特征及市场需求变化规律，优化企业市场定位、营销策略和客户运营模式，为企业提升市场竞争力、实现精准营销和推动商业模式创新提供分析依据</w:t>
            </w:r>
            <w:r>
              <w:rPr>
                <w:rFonts w:hint="eastAsia" w:ascii="仿宋" w:hAnsi="仿宋" w:eastAsia="仿宋" w:cs="仿宋"/>
                <w:sz w:val="24"/>
                <w:szCs w:val="24"/>
                <w:lang w:eastAsia="zh-CN"/>
              </w:rPr>
              <w:t>。</w:t>
            </w:r>
          </w:p>
        </w:tc>
        <w:tc>
          <w:tcPr>
            <w:tcW w:w="768" w:type="dxa"/>
            <w:vAlign w:val="center"/>
          </w:tcPr>
          <w:p w14:paraId="5EBCB91F">
            <w:pPr>
              <w:kinsoku/>
              <w:wordWrap w:val="0"/>
              <w:spacing w:line="312"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30</w:t>
            </w:r>
          </w:p>
        </w:tc>
        <w:tc>
          <w:tcPr>
            <w:tcW w:w="849" w:type="dxa"/>
            <w:vAlign w:val="center"/>
          </w:tcPr>
          <w:p w14:paraId="0916B082">
            <w:pPr>
              <w:kinsoku/>
              <w:wordWrap w:val="0"/>
              <w:spacing w:line="312" w:lineRule="exact"/>
              <w:jc w:val="center"/>
              <w:rPr>
                <w:rFonts w:hint="eastAsia" w:ascii="仿宋" w:hAnsi="仿宋" w:eastAsia="仿宋" w:cs="仿宋"/>
                <w:sz w:val="24"/>
                <w:szCs w:val="24"/>
              </w:rPr>
            </w:pPr>
            <w:r>
              <w:rPr>
                <w:rFonts w:hint="eastAsia" w:ascii="仿宋" w:hAnsi="仿宋" w:eastAsia="仿宋" w:cs="仿宋"/>
                <w:sz w:val="24"/>
                <w:szCs w:val="24"/>
              </w:rPr>
              <w:t>系统</w:t>
            </w:r>
          </w:p>
        </w:tc>
      </w:tr>
      <w:tr w14:paraId="36FDB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04" w:type="dxa"/>
            <w:vAlign w:val="center"/>
          </w:tcPr>
          <w:p w14:paraId="6FD14C89">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数字金融与企业融资创新</w:t>
            </w:r>
          </w:p>
        </w:tc>
        <w:tc>
          <w:tcPr>
            <w:tcW w:w="5468" w:type="dxa"/>
            <w:vAlign w:val="center"/>
          </w:tcPr>
          <w:p w14:paraId="4B720660">
            <w:pPr>
              <w:kinsoku/>
              <w:wordWrap w:val="0"/>
              <w:spacing w:line="312" w:lineRule="exact"/>
              <w:rPr>
                <w:rFonts w:hint="eastAsia" w:ascii="仿宋" w:hAnsi="仿宋" w:eastAsia="仿宋" w:cs="仿宋"/>
                <w:sz w:val="24"/>
                <w:szCs w:val="24"/>
                <w:lang w:eastAsia="zh-CN"/>
              </w:rPr>
            </w:pPr>
            <w:r>
              <w:rPr>
                <w:rFonts w:ascii="仿宋" w:hAnsi="仿宋" w:eastAsia="仿宋" w:cs="仿宋"/>
                <w:sz w:val="24"/>
                <w:szCs w:val="24"/>
                <w:lang w:eastAsia="zh-CN"/>
              </w:rPr>
              <w:t>围绕数字经济环境下金融服务模式创新与企业融资方式变革，结合数字支付、供应链金融、大数据信贷、金融科技平台等数字金融应用场景，分析数字技术在企业信用评价、融资渠道拓展、风险识别与控制、金融服务优化等方面的作用。通过运用金融学、公司金融和数字金融相关理论，研究数字金融工具对企业融资效率、资金配置方式和金融服务模式的影响，为企业提升融资能力、优化资金管理和推动金融服务创新提供分析依据。</w:t>
            </w:r>
          </w:p>
        </w:tc>
        <w:tc>
          <w:tcPr>
            <w:tcW w:w="768" w:type="dxa"/>
            <w:vAlign w:val="center"/>
          </w:tcPr>
          <w:p w14:paraId="706B6C36">
            <w:pPr>
              <w:kinsoku/>
              <w:wordWrap w:val="0"/>
              <w:spacing w:line="312"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25</w:t>
            </w:r>
          </w:p>
        </w:tc>
        <w:tc>
          <w:tcPr>
            <w:tcW w:w="849" w:type="dxa"/>
            <w:vAlign w:val="center"/>
          </w:tcPr>
          <w:p w14:paraId="64233D90">
            <w:pPr>
              <w:kinsoku/>
              <w:wordWrap w:val="0"/>
              <w:spacing w:line="312" w:lineRule="exact"/>
              <w:jc w:val="center"/>
              <w:rPr>
                <w:rFonts w:hint="eastAsia" w:ascii="仿宋" w:hAnsi="仿宋" w:eastAsia="仿宋" w:cs="仿宋"/>
                <w:sz w:val="24"/>
                <w:szCs w:val="24"/>
              </w:rPr>
            </w:pPr>
            <w:r>
              <w:rPr>
                <w:rFonts w:hint="eastAsia" w:ascii="仿宋" w:hAnsi="仿宋" w:eastAsia="仿宋" w:cs="仿宋"/>
                <w:sz w:val="24"/>
                <w:szCs w:val="24"/>
              </w:rPr>
              <w:t>系统</w:t>
            </w:r>
          </w:p>
        </w:tc>
      </w:tr>
    </w:tbl>
    <w:p w14:paraId="3E764CF9">
      <w:pPr>
        <w:pStyle w:val="3"/>
        <w:kinsoku/>
        <w:wordWrap w:val="0"/>
        <w:spacing w:before="60" w:line="560" w:lineRule="exact"/>
        <w:ind w:firstLine="723" w:firstLineChars="200"/>
        <w:rPr>
          <w:rFonts w:hint="eastAsia" w:ascii="仿宋_GB2312" w:hAnsi="仿宋" w:eastAsia="仿宋_GB2312" w:cs="仿宋"/>
          <w:b/>
          <w:bCs/>
          <w:spacing w:val="20"/>
          <w:sz w:val="32"/>
          <w:szCs w:val="32"/>
          <w:lang w:eastAsia="zh-CN"/>
        </w:rPr>
      </w:pPr>
      <w:r>
        <w:rPr>
          <w:rFonts w:hint="eastAsia" w:ascii="仿宋_GB2312" w:hAnsi="仿宋" w:eastAsia="仿宋_GB2312" w:cs="仿宋"/>
          <w:b/>
          <w:bCs/>
          <w:spacing w:val="20"/>
          <w:sz w:val="32"/>
          <w:szCs w:val="32"/>
          <w:lang w:eastAsia="zh-CN"/>
        </w:rPr>
        <w:t>2.决赛阶段（数字经济案例应用）</w:t>
      </w:r>
    </w:p>
    <w:p w14:paraId="5B73B643">
      <w:pPr>
        <w:pStyle w:val="3"/>
        <w:kinsoku/>
        <w:wordWrap w:val="0"/>
        <w:spacing w:before="60" w:line="560" w:lineRule="exact"/>
        <w:ind w:left="28" w:firstLine="720" w:firstLineChars="200"/>
        <w:rPr>
          <w:rFonts w:ascii="仿宋_GB2312" w:eastAsia="仿宋_GB2312"/>
          <w:sz w:val="32"/>
          <w:szCs w:val="32"/>
        </w:rPr>
      </w:pPr>
      <w:r>
        <w:rPr>
          <w:rFonts w:hint="eastAsia" w:ascii="仿宋_GB2312" w:hAnsi="仿宋" w:eastAsia="仿宋_GB2312" w:cs="仿宋"/>
          <w:spacing w:val="20"/>
          <w:sz w:val="32"/>
          <w:szCs w:val="32"/>
          <w:lang w:eastAsia="zh-CN"/>
        </w:rPr>
        <w:t>本阶段总分为100分，</w:t>
      </w:r>
      <w:r>
        <w:rPr>
          <w:rFonts w:ascii="仿宋_GB2312" w:hAnsi="仿宋" w:eastAsia="仿宋_GB2312" w:cs="仿宋"/>
          <w:spacing w:val="20"/>
          <w:sz w:val="32"/>
          <w:szCs w:val="32"/>
          <w:lang w:eastAsia="zh-CN"/>
        </w:rPr>
        <w:t>团队立足数字经济赋能实体经济的主线，结合初赛阶段数字经济应用能力案例答题结果，从</w:t>
      </w:r>
      <w:r>
        <w:rPr>
          <w:rFonts w:ascii="仿宋_GB2312" w:hAnsi="仿宋" w:eastAsia="仿宋_GB2312" w:cs="仿宋"/>
          <w:b w:val="0"/>
          <w:bCs w:val="0"/>
          <w:spacing w:val="20"/>
          <w:sz w:val="32"/>
          <w:szCs w:val="32"/>
          <w:lang w:eastAsia="zh-CN"/>
        </w:rPr>
        <w:t>企业数字化运营、行业数字化转型、区域数字生态构建</w:t>
      </w:r>
      <w:r>
        <w:rPr>
          <w:rFonts w:ascii="仿宋_GB2312" w:hAnsi="仿宋" w:eastAsia="仿宋_GB2312" w:cs="仿宋"/>
          <w:spacing w:val="20"/>
          <w:sz w:val="32"/>
          <w:szCs w:val="32"/>
          <w:lang w:eastAsia="zh-CN"/>
        </w:rPr>
        <w:t>三个维度出发，围绕给定案例材料进行深度剖析，于第二天早上7点前完成案例答辩PPT制作</w:t>
      </w:r>
      <w:r>
        <w:rPr>
          <w:rFonts w:hint="eastAsia" w:ascii="仿宋_GB2312" w:hAnsi="仿宋" w:eastAsia="仿宋_GB2312" w:cs="仿宋"/>
          <w:spacing w:val="20"/>
          <w:sz w:val="32"/>
          <w:szCs w:val="32"/>
          <w:lang w:eastAsia="zh-CN"/>
        </w:rPr>
        <w:t>。答辩现场每组选手需要在15分钟内向评委进行案</w:t>
      </w:r>
      <w:bookmarkStart w:id="0" w:name="_GoBack"/>
      <w:bookmarkEnd w:id="0"/>
      <w:r>
        <w:rPr>
          <w:rFonts w:hint="eastAsia" w:ascii="仿宋_GB2312" w:hAnsi="仿宋" w:eastAsia="仿宋_GB2312" w:cs="仿宋"/>
          <w:spacing w:val="20"/>
          <w:sz w:val="32"/>
          <w:szCs w:val="32"/>
          <w:lang w:eastAsia="zh-CN"/>
        </w:rPr>
        <w:t>例讲解，由7位专家评委对答辩案例进行独立打分，去掉每个案例所得分数中的最高分和最低分，取剩余5位评委的平均分作为该案例的最终得分。</w:t>
      </w:r>
      <w:r>
        <w:rPr>
          <w:rFonts w:hint="eastAsia" w:ascii="仿宋_GB2312" w:hAnsi="仿宋" w:eastAsia="仿宋_GB2312" w:cs="仿宋"/>
          <w:spacing w:val="20"/>
          <w:sz w:val="32"/>
          <w:szCs w:val="32"/>
        </w:rPr>
        <w:t>评分标准如下：</w:t>
      </w:r>
    </w:p>
    <w:tbl>
      <w:tblPr>
        <w:tblStyle w:val="6"/>
        <w:tblW w:w="869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8"/>
        <w:gridCol w:w="7364"/>
      </w:tblGrid>
      <w:tr w14:paraId="63ADC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8" w:type="dxa"/>
            <w:vAlign w:val="center"/>
          </w:tcPr>
          <w:p w14:paraId="0123FEF6">
            <w:pPr>
              <w:kinsoku/>
              <w:wordWrap w:val="0"/>
              <w:spacing w:line="320" w:lineRule="exact"/>
              <w:jc w:val="center"/>
              <w:rPr>
                <w:rFonts w:hint="eastAsia" w:ascii="仿宋" w:hAnsi="仿宋" w:eastAsia="仿宋" w:cs="仿宋"/>
                <w:b/>
                <w:bCs/>
                <w:sz w:val="24"/>
                <w:szCs w:val="24"/>
              </w:rPr>
            </w:pPr>
            <w:r>
              <w:rPr>
                <w:rFonts w:hint="eastAsia" w:ascii="仿宋" w:hAnsi="仿宋" w:eastAsia="仿宋" w:cs="仿宋"/>
                <w:b/>
                <w:bCs/>
                <w:sz w:val="24"/>
                <w:szCs w:val="24"/>
              </w:rPr>
              <w:t>评分标准</w:t>
            </w:r>
          </w:p>
          <w:p w14:paraId="5CF8D5F1">
            <w:pPr>
              <w:kinsoku/>
              <w:wordWrap w:val="0"/>
              <w:spacing w:line="320" w:lineRule="exact"/>
              <w:jc w:val="center"/>
              <w:rPr>
                <w:rFonts w:hint="eastAsia" w:ascii="仿宋" w:hAnsi="仿宋" w:eastAsia="仿宋" w:cs="仿宋"/>
                <w:b/>
                <w:bCs/>
                <w:sz w:val="24"/>
                <w:szCs w:val="24"/>
              </w:rPr>
            </w:pPr>
            <w:r>
              <w:rPr>
                <w:rFonts w:hint="eastAsia" w:ascii="仿宋" w:hAnsi="仿宋" w:eastAsia="仿宋" w:cs="仿宋"/>
                <w:b/>
                <w:bCs/>
                <w:sz w:val="24"/>
                <w:szCs w:val="24"/>
              </w:rPr>
              <w:t>一级指标</w:t>
            </w:r>
          </w:p>
        </w:tc>
        <w:tc>
          <w:tcPr>
            <w:tcW w:w="7364" w:type="dxa"/>
            <w:vAlign w:val="center"/>
          </w:tcPr>
          <w:p w14:paraId="51346FB1">
            <w:pPr>
              <w:kinsoku/>
              <w:wordWrap w:val="0"/>
              <w:spacing w:line="320" w:lineRule="exact"/>
              <w:ind w:firstLine="482"/>
              <w:jc w:val="center"/>
              <w:rPr>
                <w:rFonts w:hint="eastAsia" w:ascii="仿宋" w:hAnsi="仿宋" w:eastAsia="仿宋" w:cs="仿宋"/>
                <w:b/>
                <w:bCs/>
                <w:sz w:val="24"/>
                <w:szCs w:val="24"/>
              </w:rPr>
            </w:pPr>
            <w:r>
              <w:rPr>
                <w:rFonts w:hint="eastAsia" w:ascii="仿宋" w:hAnsi="仿宋" w:eastAsia="仿宋" w:cs="仿宋"/>
                <w:b/>
                <w:bCs/>
                <w:sz w:val="24"/>
                <w:szCs w:val="24"/>
              </w:rPr>
              <w:t>二级指标</w:t>
            </w:r>
          </w:p>
        </w:tc>
      </w:tr>
      <w:tr w14:paraId="1FF43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8" w:type="dxa"/>
            <w:vAlign w:val="center"/>
          </w:tcPr>
          <w:p w14:paraId="1D0E379A">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应用价值</w:t>
            </w:r>
          </w:p>
          <w:p w14:paraId="4577CDE3">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（30分）</w:t>
            </w:r>
          </w:p>
        </w:tc>
        <w:tc>
          <w:tcPr>
            <w:tcW w:w="7364" w:type="dxa"/>
          </w:tcPr>
          <w:p w14:paraId="0AC59885">
            <w:pPr>
              <w:tabs>
                <w:tab w:val="left" w:pos="312"/>
              </w:tabs>
              <w:kinsoku/>
              <w:wordWrap w:val="0"/>
              <w:spacing w:line="320" w:lineRule="exact"/>
              <w:rPr>
                <w:rFonts w:ascii="仿宋" w:hAnsi="仿宋" w:eastAsia="仿宋" w:cs="仿宋"/>
                <w:sz w:val="24"/>
                <w:szCs w:val="24"/>
                <w:lang w:eastAsia="zh-CN"/>
              </w:rPr>
            </w:pPr>
            <w:r>
              <w:rPr>
                <w:rFonts w:hint="eastAsia" w:ascii="仿宋" w:hAnsi="仿宋" w:eastAsia="仿宋" w:cs="仿宋"/>
                <w:sz w:val="24"/>
                <w:szCs w:val="24"/>
                <w:lang w:eastAsia="zh-CN"/>
              </w:rPr>
              <w:t>1.立足数字经济领域一线实际痛点或现实瓶颈提出有针对性的思考与判断。</w:t>
            </w:r>
          </w:p>
          <w:p w14:paraId="0E395C0C">
            <w:pPr>
              <w:tabs>
                <w:tab w:val="left" w:pos="312"/>
              </w:tabs>
              <w:kinsoku/>
              <w:wordWrap w:val="0"/>
              <w:spacing w:line="320" w:lineRule="exact"/>
              <w:rPr>
                <w:rFonts w:ascii="仿宋" w:hAnsi="仿宋" w:eastAsia="仿宋" w:cs="仿宋"/>
                <w:sz w:val="24"/>
                <w:szCs w:val="24"/>
                <w:lang w:eastAsia="zh-CN"/>
              </w:rPr>
            </w:pPr>
            <w:r>
              <w:rPr>
                <w:rFonts w:hint="eastAsia" w:ascii="仿宋" w:hAnsi="仿宋" w:eastAsia="仿宋" w:cs="仿宋"/>
                <w:sz w:val="24"/>
                <w:szCs w:val="24"/>
                <w:lang w:eastAsia="zh-CN"/>
              </w:rPr>
              <w:t>2.对推动企业数字化运营效率提升、行业数字化转型进程加速、区域数字生态体系构建及数字产业集聚发展具有实际促进作用。</w:t>
            </w:r>
          </w:p>
          <w:p w14:paraId="090856BD">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3.体现数据要素驱动决策、数字技术赋能业务创新、数字平台重塑协同关系等数字经济核心价值逻辑，有效提升资源配置效率或社会运行效能。</w:t>
            </w:r>
          </w:p>
        </w:tc>
      </w:tr>
      <w:tr w14:paraId="35D6B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8" w:type="dxa"/>
            <w:vAlign w:val="center"/>
          </w:tcPr>
          <w:p w14:paraId="76883FAC">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团队协作</w:t>
            </w:r>
          </w:p>
          <w:p w14:paraId="63FF9C6C">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（10分）</w:t>
            </w:r>
          </w:p>
        </w:tc>
        <w:tc>
          <w:tcPr>
            <w:tcW w:w="7364" w:type="dxa"/>
          </w:tcPr>
          <w:p w14:paraId="6020CDA6">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1.团队成员能够准确理解共同目标和任务，清楚自己的角色定位和职责。</w:t>
            </w:r>
          </w:p>
          <w:p w14:paraId="657E4127">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2.团队成员在比赛中能够有效沟通、紧密协作。</w:t>
            </w:r>
          </w:p>
          <w:p w14:paraId="37966BEE">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3.团队成员能够相互补台，共同应对突发状况。</w:t>
            </w:r>
          </w:p>
          <w:p w14:paraId="20B75F7B">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4.团队成员相互尊重、信任和支持，拥有良好的团队氛围。</w:t>
            </w:r>
          </w:p>
        </w:tc>
      </w:tr>
      <w:tr w14:paraId="2800A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8" w:type="dxa"/>
            <w:vAlign w:val="center"/>
          </w:tcPr>
          <w:p w14:paraId="098D44E9">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创新创意</w:t>
            </w:r>
          </w:p>
          <w:p w14:paraId="0B9959C4">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（30分）</w:t>
            </w:r>
          </w:p>
        </w:tc>
        <w:tc>
          <w:tcPr>
            <w:tcW w:w="7364" w:type="dxa"/>
          </w:tcPr>
          <w:p w14:paraId="2B14E2D6">
            <w:pPr>
              <w:kinsoku/>
              <w:wordWrap w:val="0"/>
              <w:spacing w:line="320" w:lineRule="exact"/>
              <w:rPr>
                <w:rFonts w:ascii="仿宋" w:hAnsi="仿宋" w:eastAsia="仿宋" w:cs="仿宋"/>
                <w:sz w:val="24"/>
                <w:szCs w:val="24"/>
                <w:lang w:eastAsia="zh-CN"/>
              </w:rPr>
            </w:pPr>
            <w:r>
              <w:rPr>
                <w:rFonts w:hint="eastAsia" w:ascii="仿宋" w:hAnsi="仿宋" w:eastAsia="仿宋" w:cs="仿宋"/>
                <w:sz w:val="24"/>
                <w:szCs w:val="24"/>
                <w:lang w:eastAsia="zh-CN"/>
              </w:rPr>
              <w:t>1.体现基于数字技术（如大数据、人工智能、云计算、区块链、物联网等）的原始创意或应用模式创新。</w:t>
            </w:r>
          </w:p>
          <w:p w14:paraId="7F2632DC">
            <w:pPr>
              <w:kinsoku/>
              <w:wordWrap w:val="0"/>
              <w:spacing w:line="320" w:lineRule="exact"/>
              <w:rPr>
                <w:rFonts w:ascii="仿宋" w:hAnsi="仿宋" w:eastAsia="仿宋" w:cs="仿宋"/>
                <w:sz w:val="24"/>
                <w:szCs w:val="24"/>
                <w:lang w:eastAsia="zh-CN"/>
              </w:rPr>
            </w:pPr>
            <w:r>
              <w:rPr>
                <w:rFonts w:hint="eastAsia" w:ascii="仿宋" w:hAnsi="仿宋" w:eastAsia="仿宋" w:cs="仿宋"/>
                <w:sz w:val="24"/>
                <w:szCs w:val="24"/>
                <w:lang w:eastAsia="zh-CN"/>
              </w:rPr>
              <w:t>2.体现面向企业、行业或区域层面数字经济场景的创意及创新，侧重于数据价值挖掘与变现、业务流程数字化重构、商业模式数字创新、数字生态协同机制设计、数字治理与服务模式优化等方面。</w:t>
            </w:r>
          </w:p>
          <w:p w14:paraId="4C4902E3">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3.体现团队成员对数字经济新趋势的敏锐洞察力、跨界融合思维和数字化创新实践能力。</w:t>
            </w:r>
          </w:p>
        </w:tc>
      </w:tr>
      <w:tr w14:paraId="27805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28" w:type="dxa"/>
            <w:vAlign w:val="center"/>
          </w:tcPr>
          <w:p w14:paraId="3B7227E7">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综合表现</w:t>
            </w:r>
          </w:p>
          <w:p w14:paraId="2571A0D0">
            <w:pPr>
              <w:kinsoku/>
              <w:wordWrap w:val="0"/>
              <w:spacing w:line="320" w:lineRule="exact"/>
              <w:jc w:val="center"/>
              <w:rPr>
                <w:rFonts w:hint="eastAsia" w:ascii="仿宋" w:hAnsi="仿宋" w:eastAsia="仿宋" w:cs="仿宋"/>
                <w:sz w:val="24"/>
                <w:szCs w:val="24"/>
              </w:rPr>
            </w:pPr>
            <w:r>
              <w:rPr>
                <w:rFonts w:hint="eastAsia" w:ascii="仿宋" w:hAnsi="仿宋" w:eastAsia="仿宋" w:cs="仿宋"/>
                <w:sz w:val="24"/>
                <w:szCs w:val="24"/>
              </w:rPr>
              <w:t>（30分）</w:t>
            </w:r>
          </w:p>
        </w:tc>
        <w:tc>
          <w:tcPr>
            <w:tcW w:w="7364" w:type="dxa"/>
          </w:tcPr>
          <w:p w14:paraId="13330184">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1.思路明确，PPT等展示内容逻辑性强，层次分明。</w:t>
            </w:r>
          </w:p>
          <w:p w14:paraId="26CDD00A">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2.正确理解评委提问，及时流畅作出回答，回答内容准确可信。</w:t>
            </w:r>
          </w:p>
          <w:p w14:paraId="40B2D41E">
            <w:pPr>
              <w:kinsoku/>
              <w:wordWrap w:val="0"/>
              <w:spacing w:line="320" w:lineRule="exact"/>
              <w:rPr>
                <w:rFonts w:hint="eastAsia" w:ascii="仿宋" w:hAnsi="仿宋" w:eastAsia="仿宋" w:cs="仿宋"/>
                <w:sz w:val="24"/>
                <w:szCs w:val="24"/>
                <w:lang w:eastAsia="zh-CN"/>
              </w:rPr>
            </w:pPr>
            <w:r>
              <w:rPr>
                <w:rFonts w:hint="eastAsia" w:ascii="仿宋" w:hAnsi="仿宋" w:eastAsia="仿宋" w:cs="仿宋"/>
                <w:sz w:val="24"/>
                <w:szCs w:val="24"/>
                <w:lang w:eastAsia="zh-CN"/>
              </w:rPr>
              <w:t>3.展示材料的设计、视觉效果及多媒体运用效果好，具有较强的吸引力。</w:t>
            </w:r>
          </w:p>
        </w:tc>
      </w:tr>
    </w:tbl>
    <w:p w14:paraId="028F4F0B">
      <w:pPr>
        <w:pStyle w:val="3"/>
        <w:kinsoku/>
        <w:wordWrap w:val="0"/>
        <w:spacing w:after="0" w:line="560" w:lineRule="exact"/>
        <w:ind w:firstLine="720" w:firstLineChars="200"/>
        <w:rPr>
          <w:rFonts w:hint="eastAsia" w:ascii="黑体" w:hAnsi="黑体" w:eastAsia="黑体" w:cs="仿宋"/>
          <w:bCs/>
          <w:spacing w:val="20"/>
          <w:sz w:val="32"/>
          <w:szCs w:val="32"/>
          <w:lang w:eastAsia="zh-CN"/>
        </w:rPr>
      </w:pPr>
      <w:r>
        <w:rPr>
          <w:rFonts w:hint="eastAsia" w:ascii="黑体" w:hAnsi="黑体" w:eastAsia="黑体" w:cs="仿宋"/>
          <w:bCs/>
          <w:spacing w:val="20"/>
          <w:sz w:val="32"/>
          <w:szCs w:val="32"/>
          <w:lang w:eastAsia="zh-CN"/>
        </w:rPr>
        <w:t>三、大赛须知</w:t>
      </w:r>
    </w:p>
    <w:p w14:paraId="4ED8092D">
      <w:pPr>
        <w:kinsoku/>
        <w:wordWrap w:val="0"/>
        <w:spacing w:line="560" w:lineRule="exact"/>
        <w:ind w:firstLine="723" w:firstLineChars="200"/>
        <w:rPr>
          <w:rFonts w:hint="eastAsia" w:ascii="楷体_GB2312" w:hAnsi="仿宋" w:eastAsia="楷体_GB2312" w:cs="仿宋"/>
          <w:b/>
          <w:bCs/>
          <w:spacing w:val="20"/>
          <w:sz w:val="32"/>
          <w:szCs w:val="32"/>
          <w:lang w:eastAsia="zh-CN"/>
        </w:rPr>
      </w:pPr>
      <w:r>
        <w:rPr>
          <w:rFonts w:hint="eastAsia" w:ascii="楷体_GB2312" w:hAnsi="仿宋" w:eastAsia="楷体_GB2312" w:cs="仿宋"/>
          <w:b/>
          <w:bCs/>
          <w:spacing w:val="20"/>
          <w:sz w:val="32"/>
          <w:szCs w:val="32"/>
          <w:lang w:eastAsia="zh-CN"/>
        </w:rPr>
        <w:t>(一)参赛队须知</w:t>
      </w:r>
    </w:p>
    <w:p w14:paraId="50E4D552">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1.参赛队名称统一使用各校代表队名称，不得使用其他组织或团体名称；不接受跨校组队报名；</w:t>
      </w:r>
    </w:p>
    <w:p w14:paraId="75D890B0">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2.由于比赛的开放性，本次比赛不接受补时，比赛选手需承担由于个人行为所造成的时间损失。</w:t>
      </w:r>
    </w:p>
    <w:p w14:paraId="1033B158">
      <w:pPr>
        <w:kinsoku/>
        <w:wordWrap w:val="0"/>
        <w:spacing w:line="560" w:lineRule="exact"/>
        <w:ind w:firstLine="723" w:firstLineChars="200"/>
        <w:rPr>
          <w:rFonts w:hint="eastAsia" w:ascii="楷体_GB2312" w:hAnsi="仿宋" w:eastAsia="楷体_GB2312" w:cs="仿宋"/>
          <w:b/>
          <w:bCs/>
          <w:spacing w:val="20"/>
          <w:sz w:val="32"/>
          <w:szCs w:val="32"/>
          <w:lang w:eastAsia="zh-CN"/>
        </w:rPr>
      </w:pPr>
      <w:r>
        <w:rPr>
          <w:rFonts w:hint="eastAsia" w:ascii="楷体_GB2312" w:hAnsi="仿宋" w:eastAsia="楷体_GB2312" w:cs="仿宋"/>
          <w:b/>
          <w:bCs/>
          <w:spacing w:val="20"/>
          <w:sz w:val="32"/>
          <w:szCs w:val="32"/>
          <w:lang w:eastAsia="zh-CN"/>
        </w:rPr>
        <w:t>(二)领队、指导教师须知</w:t>
      </w:r>
    </w:p>
    <w:p w14:paraId="2A2724C2">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1.领队、指导教师须严格遵守赛场纪律，服从裁判，文明比赛；</w:t>
      </w:r>
    </w:p>
    <w:p w14:paraId="3AB9EB43">
      <w:pPr>
        <w:pStyle w:val="3"/>
        <w:kinsoku/>
        <w:wordWrap w:val="0"/>
        <w:spacing w:after="0" w:line="560" w:lineRule="exact"/>
        <w:ind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2.比赛期间，指导教师不得进入比赛现场进行指导；</w:t>
      </w:r>
    </w:p>
    <w:p w14:paraId="09833971">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3.比赛期间各参赛队不得以任何形式向裁判透露参赛信息或沟通大赛事宜，有关大赛所有问题须由领队按规范要求向赛项执委会或仲裁组反映或协商。</w:t>
      </w:r>
    </w:p>
    <w:p w14:paraId="0A3F5E33">
      <w:pPr>
        <w:kinsoku/>
        <w:wordWrap w:val="0"/>
        <w:spacing w:line="560" w:lineRule="exact"/>
        <w:ind w:firstLine="723" w:firstLineChars="200"/>
        <w:rPr>
          <w:rFonts w:hint="eastAsia" w:ascii="楷体_GB2312" w:hAnsi="仿宋" w:eastAsia="楷体_GB2312" w:cs="仿宋"/>
          <w:b/>
          <w:bCs/>
          <w:spacing w:val="20"/>
          <w:sz w:val="32"/>
          <w:szCs w:val="32"/>
          <w:lang w:eastAsia="zh-CN"/>
        </w:rPr>
      </w:pPr>
      <w:r>
        <w:rPr>
          <w:rFonts w:hint="eastAsia" w:ascii="楷体_GB2312" w:hAnsi="仿宋" w:eastAsia="楷体_GB2312" w:cs="仿宋"/>
          <w:b/>
          <w:bCs/>
          <w:spacing w:val="20"/>
          <w:sz w:val="32"/>
          <w:szCs w:val="32"/>
          <w:lang w:eastAsia="zh-CN"/>
        </w:rPr>
        <w:t>(三)参赛选手须知</w:t>
      </w:r>
    </w:p>
    <w:p w14:paraId="3C0D7C35">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1.参赛选手在比赛前须进行身份核验、检查学生证及身份证；</w:t>
      </w:r>
    </w:p>
    <w:p w14:paraId="6C62C123">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2.参赛选手不得携带除考试、监考以外的通讯设备进入比赛场地；</w:t>
      </w:r>
    </w:p>
    <w:p w14:paraId="23984B49">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3.参赛选手不得寻求参赛队员以外人员的帮助及支持；</w:t>
      </w:r>
    </w:p>
    <w:p w14:paraId="248CF4D5">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4.参赛选手在比赛期间未经赛项组委会批准，不得随意接受任何单位或个人进行的与大赛相关的采访，不得私自公开大赛的相关情况和资料。</w:t>
      </w:r>
    </w:p>
    <w:p w14:paraId="4E994387">
      <w:pPr>
        <w:kinsoku/>
        <w:wordWrap w:val="0"/>
        <w:spacing w:line="560" w:lineRule="exact"/>
        <w:ind w:firstLine="723" w:firstLineChars="200"/>
        <w:rPr>
          <w:rFonts w:hint="eastAsia" w:ascii="楷体_GB2312" w:hAnsi="仿宋" w:eastAsia="楷体_GB2312" w:cs="仿宋"/>
          <w:b/>
          <w:bCs/>
          <w:spacing w:val="20"/>
          <w:sz w:val="32"/>
          <w:szCs w:val="32"/>
          <w:lang w:eastAsia="zh-CN"/>
        </w:rPr>
      </w:pPr>
      <w:r>
        <w:rPr>
          <w:rFonts w:hint="eastAsia" w:ascii="楷体_GB2312" w:hAnsi="仿宋" w:eastAsia="楷体_GB2312" w:cs="仿宋"/>
          <w:b/>
          <w:bCs/>
          <w:spacing w:val="20"/>
          <w:sz w:val="32"/>
          <w:szCs w:val="32"/>
          <w:lang w:eastAsia="zh-CN"/>
        </w:rPr>
        <w:t>(四)工作人员须知</w:t>
      </w:r>
    </w:p>
    <w:p w14:paraId="68C07C10">
      <w:pPr>
        <w:pStyle w:val="3"/>
        <w:kinsoku/>
        <w:wordWrap w:val="0"/>
        <w:spacing w:after="0" w:line="560" w:lineRule="exact"/>
        <w:ind w:left="28" w:firstLine="720" w:firstLineChars="200"/>
        <w:rPr>
          <w:rFonts w:hint="eastAsia" w:ascii="仿宋_GB2312" w:hAnsi="仿宋" w:eastAsia="仿宋_GB2312" w:cs="仿宋"/>
          <w:spacing w:val="20"/>
          <w:sz w:val="32"/>
          <w:szCs w:val="32"/>
          <w:lang w:eastAsia="zh-CN"/>
        </w:rPr>
      </w:pPr>
      <w:r>
        <w:rPr>
          <w:rFonts w:hint="eastAsia" w:ascii="仿宋_GB2312" w:hAnsi="仿宋" w:eastAsia="仿宋_GB2312" w:cs="仿宋"/>
          <w:spacing w:val="20"/>
          <w:sz w:val="32"/>
          <w:szCs w:val="32"/>
          <w:lang w:eastAsia="zh-CN"/>
        </w:rPr>
        <w:t>大赛期间，由赛项执委会负责处理突发事件，由仲裁组人员处理申诉事项，由监督人员对裁判人员进行监督，工作人员不得私自处理有关选手比赛成绩的相关事件。</w:t>
      </w:r>
    </w:p>
    <w:p w14:paraId="3B6472D7">
      <w:pPr>
        <w:pStyle w:val="3"/>
        <w:kinsoku/>
        <w:wordWrap w:val="0"/>
        <w:spacing w:after="0" w:line="560" w:lineRule="exact"/>
        <w:ind w:firstLine="720" w:firstLineChars="200"/>
        <w:rPr>
          <w:rFonts w:hint="eastAsia" w:ascii="黑体" w:hAnsi="黑体" w:eastAsia="黑体" w:cs="仿宋"/>
          <w:bCs/>
          <w:spacing w:val="20"/>
          <w:sz w:val="32"/>
          <w:szCs w:val="32"/>
          <w:lang w:eastAsia="zh-CN"/>
        </w:rPr>
      </w:pPr>
      <w:r>
        <w:rPr>
          <w:rFonts w:hint="eastAsia" w:ascii="黑体" w:hAnsi="黑体" w:eastAsia="黑体" w:cs="仿宋"/>
          <w:bCs/>
          <w:spacing w:val="20"/>
          <w:sz w:val="32"/>
          <w:szCs w:val="32"/>
          <w:lang w:eastAsia="zh-CN"/>
        </w:rPr>
        <w:t>四、申诉与仲裁</w:t>
      </w:r>
    </w:p>
    <w:p w14:paraId="650DFA2A">
      <w:pPr>
        <w:pStyle w:val="3"/>
        <w:kinsoku/>
        <w:wordWrap w:val="0"/>
        <w:spacing w:after="0" w:line="560" w:lineRule="exact"/>
        <w:ind w:left="28" w:firstLine="720" w:firstLineChars="200"/>
        <w:rPr>
          <w:rFonts w:eastAsiaTheme="minorEastAsia"/>
          <w:lang w:eastAsia="zh-CN"/>
        </w:rPr>
      </w:pPr>
      <w:r>
        <w:rPr>
          <w:rFonts w:hint="eastAsia" w:ascii="仿宋_GB2312" w:hAnsi="仿宋" w:eastAsia="仿宋_GB2312" w:cs="仿宋"/>
          <w:spacing w:val="20"/>
          <w:sz w:val="32"/>
          <w:szCs w:val="32"/>
          <w:lang w:eastAsia="zh-CN"/>
        </w:rPr>
        <w:t>在大赛过程中若出现有失公正或有关人员违规等现象，代表队领队须在大赛结束后2小时之内向裁判组提出书面申诉。裁判组在接到申诉后的2小时内组织复议，并及时反馈复议结果，裁判组仲裁结果为最终结果。</w:t>
      </w:r>
    </w:p>
    <w:sectPr>
      <w:footerReference r:id="rId3" w:type="default"/>
      <w:pgSz w:w="11910" w:h="16830"/>
      <w:pgMar w:top="1430" w:right="1361" w:bottom="1917" w:left="1361" w:header="0" w:footer="179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等线 Light">
    <w:panose1 w:val="02010600030101010101"/>
    <w:charset w:val="86"/>
    <w:family w:val="auto"/>
    <w:pitch w:val="default"/>
    <w:sig w:usb0="A00002BF" w:usb1="38CF7CFA" w:usb2="00000016" w:usb3="00000000" w:csb0="0004000F" w:csb1="00000000"/>
  </w:font>
  <w:font w:name="方正小标宋简体">
    <w:altName w:val="微软雅黑"/>
    <w:panose1 w:val="00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 w:name="KSOFBBF09B1B">
    <w:panose1 w:val="020B0503020204020204"/>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KSOFF9CC612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D6257">
    <w:pPr>
      <w:spacing w:line="173" w:lineRule="auto"/>
      <w:ind w:left="4644" w:firstLine="260"/>
      <w:rPr>
        <w:rFonts w:ascii="Times New Roman" w:hAnsi="Times New Roman" w:eastAsia="Times New Roman" w:cs="Times New Roman"/>
        <w:sz w:val="14"/>
        <w:szCs w:val="14"/>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F04"/>
    <w:rsid w:val="00015A34"/>
    <w:rsid w:val="00245F04"/>
    <w:rsid w:val="00275563"/>
    <w:rsid w:val="004377DF"/>
    <w:rsid w:val="00510883"/>
    <w:rsid w:val="00572547"/>
    <w:rsid w:val="005756EE"/>
    <w:rsid w:val="005E0DA0"/>
    <w:rsid w:val="006115C8"/>
    <w:rsid w:val="006D06C7"/>
    <w:rsid w:val="0092682C"/>
    <w:rsid w:val="00980B00"/>
    <w:rsid w:val="00A42987"/>
    <w:rsid w:val="00AE6C0A"/>
    <w:rsid w:val="00C225E1"/>
    <w:rsid w:val="00DC5024"/>
    <w:rsid w:val="00FF1EC6"/>
    <w:rsid w:val="0A173EFF"/>
    <w:rsid w:val="3E2B7B15"/>
    <w:rsid w:val="49806136"/>
    <w:rsid w:val="4BCC7FD2"/>
    <w:rsid w:val="78334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link w:val="10"/>
    <w:autoRedefine/>
    <w:unhideWhenUsed/>
    <w:qFormat/>
    <w:uiPriority w:val="9"/>
    <w:pPr>
      <w:keepNext/>
      <w:keepLines/>
      <w:spacing w:before="156" w:beforeLines="50" w:after="156" w:afterLines="50"/>
      <w:ind w:firstLine="602"/>
      <w:jc w:val="center"/>
      <w:outlineLvl w:val="1"/>
    </w:pPr>
    <w:rPr>
      <w:rFonts w:eastAsia="黑体" w:asciiTheme="majorHAnsi" w:hAnsiTheme="majorHAnsi" w:cstheme="majorBidi"/>
      <w:bCs/>
      <w:sz w:val="32"/>
      <w:szCs w:val="32"/>
    </w:rPr>
  </w:style>
  <w:style w:type="character" w:default="1" w:styleId="7">
    <w:name w:val="Default Paragraph Font"/>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9"/>
    <w:unhideWhenUsed/>
    <w:qFormat/>
    <w:uiPriority w:val="0"/>
    <w:pPr>
      <w:spacing w:after="120"/>
    </w:pPr>
  </w:style>
  <w:style w:type="paragraph" w:styleId="4">
    <w:name w:val="footer"/>
    <w:basedOn w:val="1"/>
    <w:link w:val="14"/>
    <w:unhideWhenUsed/>
    <w:qFormat/>
    <w:uiPriority w:val="99"/>
    <w:pPr>
      <w:tabs>
        <w:tab w:val="center" w:pos="4153"/>
        <w:tab w:val="right" w:pos="8306"/>
      </w:tabs>
    </w:pPr>
    <w:rPr>
      <w:sz w:val="18"/>
      <w:szCs w:val="18"/>
    </w:rPr>
  </w:style>
  <w:style w:type="paragraph" w:styleId="5">
    <w:name w:val="header"/>
    <w:basedOn w:val="1"/>
    <w:link w:val="13"/>
    <w:unhideWhenUsed/>
    <w:qFormat/>
    <w:uiPriority w:val="99"/>
    <w:pPr>
      <w:tabs>
        <w:tab w:val="center" w:pos="4153"/>
        <w:tab w:val="right" w:pos="8306"/>
      </w:tabs>
      <w:jc w:val="center"/>
    </w:pPr>
    <w:rPr>
      <w:sz w:val="18"/>
      <w:szCs w:val="18"/>
    </w:rPr>
  </w:style>
  <w:style w:type="paragraph" w:customStyle="1" w:styleId="8">
    <w:name w:val="First Paragraph"/>
    <w:basedOn w:val="3"/>
    <w:next w:val="3"/>
    <w:autoRedefine/>
    <w:qFormat/>
    <w:uiPriority w:val="0"/>
    <w:pPr>
      <w:spacing w:after="0"/>
    </w:pPr>
    <w:rPr>
      <w:szCs w:val="24"/>
    </w:rPr>
  </w:style>
  <w:style w:type="character" w:customStyle="1" w:styleId="9">
    <w:name w:val="正文文本 字符"/>
    <w:basedOn w:val="7"/>
    <w:link w:val="3"/>
    <w:qFormat/>
    <w:uiPriority w:val="0"/>
  </w:style>
  <w:style w:type="character" w:customStyle="1" w:styleId="10">
    <w:name w:val="标题 2 字符"/>
    <w:basedOn w:val="7"/>
    <w:link w:val="2"/>
    <w:qFormat/>
    <w:uiPriority w:val="9"/>
    <w:rPr>
      <w:rFonts w:eastAsia="黑体" w:asciiTheme="majorHAnsi" w:hAnsiTheme="majorHAnsi" w:cstheme="majorBidi"/>
      <w:bCs/>
      <w:sz w:val="32"/>
      <w:szCs w:val="32"/>
    </w:rPr>
  </w:style>
  <w:style w:type="table" w:customStyle="1" w:styleId="11">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12">
    <w:name w:val="Table Text"/>
    <w:basedOn w:val="1"/>
    <w:semiHidden/>
    <w:qFormat/>
    <w:uiPriority w:val="0"/>
    <w:rPr>
      <w:rFonts w:ascii="宋体" w:hAnsi="宋体" w:eastAsia="宋体" w:cs="宋体"/>
      <w:sz w:val="28"/>
      <w:szCs w:val="28"/>
    </w:rPr>
  </w:style>
  <w:style w:type="character" w:customStyle="1" w:styleId="13">
    <w:name w:val="页眉 字符"/>
    <w:basedOn w:val="7"/>
    <w:link w:val="5"/>
    <w:qFormat/>
    <w:uiPriority w:val="99"/>
    <w:rPr>
      <w:rFonts w:ascii="Arial" w:hAnsi="Arial" w:eastAsia="Arial" w:cs="Arial"/>
      <w:snapToGrid w:val="0"/>
      <w:color w:val="000000"/>
      <w:sz w:val="18"/>
      <w:szCs w:val="18"/>
      <w:lang w:eastAsia="en-US"/>
    </w:rPr>
  </w:style>
  <w:style w:type="character" w:customStyle="1" w:styleId="14">
    <w:name w:val="页脚 字符"/>
    <w:basedOn w:val="7"/>
    <w:link w:val="4"/>
    <w:qFormat/>
    <w:uiPriority w:val="99"/>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2281</Words>
  <Characters>2325</Characters>
  <Lines>81</Lines>
  <Paragraphs>77</Paragraphs>
  <TotalTime>12</TotalTime>
  <ScaleCrop>false</ScaleCrop>
  <LinksUpToDate>false</LinksUpToDate>
  <CharactersWithSpaces>2325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2025-08-05T08:36:00Z</dcterms:created>
  <dc:creator>刘维营</dc:creator>
  <cp:lastModifiedBy>尹泽宇</cp:lastModifiedBy>
  <dcterms:modified xsi:type="dcterms:W3CDTF">2026-07-20T03:30:51Z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eyJoZGlkIjoiY2ViMmVjZTcxYTc5ZmRkMGI4NWUyYjU2MjgyNmY2YjciLCJ1c2VySWQiOiI1MzU2ODQ2NDAifQ==</vt:lpwstr>
  </property>
  <property fmtid="{D5CDD505-2E9C-101B-9397-08002B2CF9AE}" pid="3" name="KSOProductBuildVer">
    <vt:lpwstr>2052-12.1.0.26895</vt:lpwstr>
  </property>
  <property fmtid="{D5CDD505-2E9C-101B-9397-08002B2CF9AE}" pid="4" name="ICV">
    <vt:lpwstr>525ACC98F53F48189F82DBD3F6479A33_13</vt:lpwstr>
  </property>
</Properties>
</file>